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E1" w:rsidRDefault="00951EE1" w:rsidP="00ED49AB">
      <w:pPr>
        <w:spacing w:afterLines="50" w:after="156" w:line="500" w:lineRule="exact"/>
        <w:jc w:val="center"/>
        <w:rPr>
          <w:rFonts w:ascii="方正小标宋简体" w:eastAsia="方正小标宋简体" w:hAnsi="华文中宋"/>
          <w:sz w:val="44"/>
          <w:szCs w:val="44"/>
        </w:rPr>
      </w:pPr>
      <w:bookmarkStart w:id="0" w:name="_Toc377550724"/>
      <w:r w:rsidRPr="00E84F53">
        <w:rPr>
          <w:rFonts w:ascii="方正小标宋简体" w:eastAsia="方正小标宋简体" w:hAnsi="华文中宋" w:hint="eastAsia"/>
          <w:sz w:val="44"/>
          <w:szCs w:val="44"/>
        </w:rPr>
        <w:t>南京理工大学硕士学位论文</w:t>
      </w:r>
      <w:bookmarkStart w:id="1" w:name="_Toc377550725"/>
      <w:bookmarkEnd w:id="0"/>
      <w:r w:rsidRPr="00E84F53">
        <w:rPr>
          <w:rFonts w:ascii="方正小标宋简体" w:eastAsia="方正小标宋简体" w:hAnsi="华文中宋" w:hint="eastAsia"/>
          <w:sz w:val="44"/>
          <w:szCs w:val="44"/>
        </w:rPr>
        <w:t>学术不端行为预防及处理暂行办法</w:t>
      </w:r>
      <w:bookmarkEnd w:id="1"/>
    </w:p>
    <w:p w:rsidR="00951EE1" w:rsidRDefault="00951EE1" w:rsidP="00507BC1">
      <w:pPr>
        <w:snapToGrid w:val="0"/>
        <w:spacing w:line="520" w:lineRule="exact"/>
        <w:jc w:val="center"/>
        <w:rPr>
          <w:rFonts w:ascii="仿宋_GB2312" w:eastAsia="仿宋_GB2312"/>
          <w:sz w:val="32"/>
          <w:szCs w:val="32"/>
        </w:rPr>
      </w:pPr>
      <w:r>
        <w:rPr>
          <w:rFonts w:ascii="仿宋_GB2312" w:eastAsia="仿宋_GB2312" w:hint="eastAsia"/>
          <w:sz w:val="32"/>
          <w:szCs w:val="32"/>
        </w:rPr>
        <w:t>（文件号：南理工研〔</w:t>
      </w:r>
      <w:r>
        <w:rPr>
          <w:rFonts w:ascii="仿宋_GB2312" w:eastAsia="仿宋_GB2312"/>
          <w:sz w:val="32"/>
          <w:szCs w:val="32"/>
        </w:rPr>
        <w:t>2014</w:t>
      </w:r>
      <w:r>
        <w:rPr>
          <w:rFonts w:ascii="仿宋_GB2312" w:eastAsia="仿宋_GB2312" w:hint="eastAsia"/>
          <w:sz w:val="32"/>
          <w:szCs w:val="32"/>
        </w:rPr>
        <w:t>〕</w:t>
      </w:r>
      <w:r>
        <w:rPr>
          <w:rFonts w:ascii="仿宋_GB2312" w:eastAsia="仿宋_GB2312"/>
          <w:sz w:val="32"/>
          <w:szCs w:val="32"/>
        </w:rPr>
        <w:t>339</w:t>
      </w:r>
      <w:r>
        <w:rPr>
          <w:rFonts w:ascii="仿宋_GB2312" w:eastAsia="仿宋_GB2312" w:hint="eastAsia"/>
          <w:sz w:val="32"/>
          <w:szCs w:val="32"/>
        </w:rPr>
        <w:t>号）</w:t>
      </w:r>
    </w:p>
    <w:p w:rsidR="00951EE1" w:rsidRPr="00E84F53" w:rsidRDefault="00951EE1" w:rsidP="00ED49AB">
      <w:pPr>
        <w:spacing w:afterLines="50" w:after="156" w:line="500" w:lineRule="exact"/>
        <w:jc w:val="center"/>
        <w:rPr>
          <w:rFonts w:ascii="方正小标宋简体" w:eastAsia="方正小标宋简体" w:hAnsi="华文中宋"/>
          <w:sz w:val="44"/>
          <w:szCs w:val="44"/>
        </w:rPr>
      </w:pPr>
    </w:p>
    <w:p w:rsidR="00951EE1" w:rsidRPr="00075BD7" w:rsidRDefault="00951EE1" w:rsidP="00507BC1">
      <w:pPr>
        <w:tabs>
          <w:tab w:val="left" w:pos="1620"/>
        </w:tabs>
        <w:spacing w:line="480" w:lineRule="exact"/>
        <w:ind w:firstLineChars="200" w:firstLine="640"/>
        <w:rPr>
          <w:rFonts w:ascii="仿宋_GB2312" w:eastAsia="仿宋_GB2312" w:cs="宋体"/>
          <w:sz w:val="32"/>
          <w:szCs w:val="32"/>
        </w:rPr>
      </w:pPr>
      <w:r w:rsidRPr="005E5568">
        <w:rPr>
          <w:rFonts w:ascii="黑体" w:eastAsia="黑体" w:hAnsi="黑体" w:cs="宋体" w:hint="eastAsia"/>
          <w:bCs/>
          <w:color w:val="000000"/>
          <w:sz w:val="32"/>
          <w:szCs w:val="32"/>
        </w:rPr>
        <w:t>第一条</w:t>
      </w:r>
      <w:r w:rsidRPr="00075BD7">
        <w:rPr>
          <w:rFonts w:ascii="仿宋_GB2312" w:eastAsia="仿宋_GB2312" w:hAnsi="仿宋" w:cs="宋体" w:hint="eastAsia"/>
          <w:color w:val="FF0000"/>
          <w:kern w:val="0"/>
          <w:sz w:val="32"/>
          <w:szCs w:val="32"/>
        </w:rPr>
        <w:t xml:space="preserve">　</w:t>
      </w:r>
      <w:r w:rsidRPr="00075BD7">
        <w:rPr>
          <w:rFonts w:ascii="仿宋_GB2312" w:eastAsia="仿宋_GB2312" w:hAnsi="仿宋" w:cs="宋体" w:hint="eastAsia"/>
          <w:color w:val="000000"/>
          <w:sz w:val="32"/>
          <w:szCs w:val="32"/>
        </w:rPr>
        <w:t>为贯彻落实《教育部关于严肃处理高等学校学术不端行为的通知》，加强学术道德和学术风范建设，保证我校各类硕士学位论文质量，预防硕士学位论文出现学术不端行为，现</w:t>
      </w:r>
      <w:r w:rsidRPr="00075BD7">
        <w:rPr>
          <w:rFonts w:ascii="仿宋_GB2312" w:eastAsia="仿宋_GB2312" w:hAnsi="仿宋" w:cs="宋体" w:hint="eastAsia"/>
          <w:sz w:val="32"/>
          <w:szCs w:val="32"/>
        </w:rPr>
        <w:t>制订本办法。</w:t>
      </w:r>
    </w:p>
    <w:p w:rsidR="00951EE1" w:rsidRPr="00075BD7" w:rsidRDefault="00951EE1" w:rsidP="00507BC1">
      <w:pPr>
        <w:spacing w:line="480" w:lineRule="exact"/>
        <w:ind w:firstLineChars="200" w:firstLine="640"/>
        <w:rPr>
          <w:rFonts w:ascii="仿宋_GB2312" w:eastAsia="仿宋_GB2312" w:cs="宋体"/>
          <w:color w:val="000000"/>
          <w:sz w:val="32"/>
          <w:szCs w:val="32"/>
        </w:rPr>
      </w:pPr>
      <w:r w:rsidRPr="005E5568">
        <w:rPr>
          <w:rFonts w:ascii="黑体" w:eastAsia="黑体" w:hAnsi="黑体" w:cs="宋体" w:hint="eastAsia"/>
          <w:bCs/>
          <w:color w:val="000000"/>
          <w:sz w:val="32"/>
          <w:szCs w:val="32"/>
        </w:rPr>
        <w:t>第二条</w:t>
      </w:r>
      <w:r w:rsidRPr="00075BD7">
        <w:rPr>
          <w:rFonts w:ascii="仿宋_GB2312" w:eastAsia="仿宋_GB2312" w:hAnsi="仿宋" w:cs="宋体" w:hint="eastAsia"/>
          <w:color w:val="FF0000"/>
          <w:kern w:val="0"/>
          <w:sz w:val="32"/>
          <w:szCs w:val="32"/>
        </w:rPr>
        <w:t xml:space="preserve">　</w:t>
      </w:r>
      <w:r w:rsidRPr="00075BD7">
        <w:rPr>
          <w:rFonts w:ascii="仿宋_GB2312" w:eastAsia="仿宋_GB2312" w:hAnsi="仿宋" w:cs="宋体" w:hint="eastAsia"/>
          <w:color w:val="000000"/>
          <w:sz w:val="32"/>
          <w:szCs w:val="32"/>
        </w:rPr>
        <w:t>适用对象。凡申请答辩的硕士学位论文全部进行检测，涉密学位论文除外。</w:t>
      </w:r>
    </w:p>
    <w:p w:rsidR="00951EE1" w:rsidRPr="00075BD7" w:rsidRDefault="00951EE1" w:rsidP="00507BC1">
      <w:pPr>
        <w:spacing w:line="480" w:lineRule="exact"/>
        <w:ind w:firstLineChars="200" w:firstLine="640"/>
        <w:rPr>
          <w:rFonts w:ascii="仿宋_GB2312" w:eastAsia="仿宋_GB2312" w:cs="宋体"/>
          <w:color w:val="000000"/>
          <w:sz w:val="32"/>
          <w:szCs w:val="32"/>
        </w:rPr>
      </w:pPr>
      <w:r w:rsidRPr="005E5568">
        <w:rPr>
          <w:rFonts w:ascii="黑体" w:eastAsia="黑体" w:hAnsi="黑体" w:cs="宋体" w:hint="eastAsia"/>
          <w:bCs/>
          <w:color w:val="000000"/>
          <w:sz w:val="32"/>
          <w:szCs w:val="32"/>
        </w:rPr>
        <w:t>第三条</w:t>
      </w:r>
      <w:r w:rsidRPr="00075BD7">
        <w:rPr>
          <w:rFonts w:ascii="仿宋_GB2312" w:eastAsia="仿宋_GB2312" w:hAnsi="仿宋" w:cs="宋体" w:hint="eastAsia"/>
          <w:color w:val="FF0000"/>
          <w:kern w:val="0"/>
          <w:sz w:val="32"/>
          <w:szCs w:val="32"/>
        </w:rPr>
        <w:t xml:space="preserve">　</w:t>
      </w:r>
      <w:r w:rsidRPr="00075BD7">
        <w:rPr>
          <w:rFonts w:ascii="仿宋_GB2312" w:eastAsia="仿宋_GB2312" w:hAnsi="仿宋" w:cs="宋体" w:hint="eastAsia"/>
          <w:color w:val="000000"/>
          <w:sz w:val="32"/>
          <w:szCs w:val="32"/>
        </w:rPr>
        <w:t>检测手段。采用中国知网</w:t>
      </w:r>
      <w:r w:rsidRPr="00075BD7">
        <w:rPr>
          <w:rFonts w:ascii="仿宋_GB2312" w:eastAsia="仿宋_GB2312" w:cs="宋体" w:hint="eastAsia"/>
          <w:color w:val="000000"/>
          <w:sz w:val="32"/>
          <w:szCs w:val="32"/>
        </w:rPr>
        <w:t>“</w:t>
      </w:r>
      <w:r w:rsidRPr="00075BD7">
        <w:rPr>
          <w:rFonts w:ascii="仿宋_GB2312" w:eastAsia="仿宋_GB2312" w:hAnsi="仿宋" w:cs="宋体" w:hint="eastAsia"/>
          <w:color w:val="000000"/>
          <w:sz w:val="32"/>
          <w:szCs w:val="32"/>
        </w:rPr>
        <w:t>学位论文学术不端行为检测系统</w:t>
      </w:r>
      <w:r w:rsidRPr="00075BD7">
        <w:rPr>
          <w:rFonts w:ascii="仿宋_GB2312" w:eastAsia="仿宋_GB2312" w:cs="宋体" w:hint="eastAsia"/>
          <w:color w:val="000000"/>
          <w:sz w:val="32"/>
          <w:szCs w:val="32"/>
        </w:rPr>
        <w:t>”</w:t>
      </w:r>
      <w:r w:rsidRPr="00075BD7">
        <w:rPr>
          <w:rFonts w:ascii="仿宋_GB2312" w:eastAsia="仿宋_GB2312" w:hAnsi="仿宋" w:cs="宋体" w:hint="eastAsia"/>
          <w:color w:val="000000"/>
          <w:sz w:val="32"/>
          <w:szCs w:val="32"/>
        </w:rPr>
        <w:t>（以下简称</w:t>
      </w:r>
      <w:r w:rsidRPr="00075BD7">
        <w:rPr>
          <w:rFonts w:ascii="仿宋_GB2312" w:eastAsia="仿宋_GB2312" w:cs="宋体" w:hint="eastAsia"/>
          <w:color w:val="000000"/>
          <w:sz w:val="32"/>
          <w:szCs w:val="32"/>
        </w:rPr>
        <w:t>“</w:t>
      </w:r>
      <w:r w:rsidRPr="00075BD7">
        <w:rPr>
          <w:rFonts w:ascii="仿宋_GB2312" w:eastAsia="仿宋_GB2312" w:hAnsi="仿宋" w:cs="宋体" w:hint="eastAsia"/>
          <w:color w:val="000000"/>
          <w:sz w:val="32"/>
          <w:szCs w:val="32"/>
        </w:rPr>
        <w:t>检测系统</w:t>
      </w:r>
      <w:r w:rsidRPr="00075BD7">
        <w:rPr>
          <w:rFonts w:ascii="仿宋_GB2312" w:eastAsia="仿宋_GB2312" w:cs="宋体" w:hint="eastAsia"/>
          <w:color w:val="000000"/>
          <w:sz w:val="32"/>
          <w:szCs w:val="32"/>
        </w:rPr>
        <w:t>”</w:t>
      </w:r>
      <w:r w:rsidRPr="00075BD7">
        <w:rPr>
          <w:rFonts w:ascii="仿宋_GB2312" w:eastAsia="仿宋_GB2312" w:hAnsi="仿宋" w:cs="宋体" w:hint="eastAsia"/>
          <w:color w:val="000000"/>
          <w:sz w:val="32"/>
          <w:szCs w:val="32"/>
        </w:rPr>
        <w:t>）和人工鉴定相结合。</w:t>
      </w:r>
    </w:p>
    <w:p w:rsidR="00951EE1" w:rsidRPr="00075BD7" w:rsidRDefault="00951EE1" w:rsidP="00507BC1">
      <w:pPr>
        <w:spacing w:line="480" w:lineRule="exact"/>
        <w:ind w:firstLineChars="199" w:firstLine="637"/>
        <w:rPr>
          <w:rFonts w:ascii="仿宋_GB2312" w:eastAsia="仿宋_GB2312" w:cs="宋体"/>
          <w:color w:val="000000"/>
          <w:sz w:val="32"/>
          <w:szCs w:val="32"/>
        </w:rPr>
      </w:pPr>
      <w:r w:rsidRPr="005E5568">
        <w:rPr>
          <w:rFonts w:ascii="黑体" w:eastAsia="黑体" w:hAnsi="黑体" w:cs="宋体" w:hint="eastAsia"/>
          <w:bCs/>
          <w:color w:val="000000"/>
          <w:sz w:val="32"/>
          <w:szCs w:val="32"/>
        </w:rPr>
        <w:t>第四条</w:t>
      </w:r>
      <w:r w:rsidRPr="00075BD7">
        <w:rPr>
          <w:rFonts w:ascii="仿宋_GB2312" w:eastAsia="仿宋_GB2312" w:hAnsi="仿宋" w:cs="宋体" w:hint="eastAsia"/>
          <w:color w:val="FF0000"/>
          <w:kern w:val="0"/>
          <w:sz w:val="32"/>
          <w:szCs w:val="32"/>
        </w:rPr>
        <w:t xml:space="preserve">　</w:t>
      </w:r>
      <w:r w:rsidRPr="00075BD7">
        <w:rPr>
          <w:rFonts w:ascii="仿宋_GB2312" w:eastAsia="仿宋_GB2312" w:hAnsi="仿宋" w:cs="宋体" w:hint="eastAsia"/>
          <w:color w:val="000000"/>
          <w:sz w:val="32"/>
          <w:szCs w:val="32"/>
        </w:rPr>
        <w:t>检测流程。申请学位答辩的人员经导师确认同意后，提交需送审的学位论文纸制版和电子版（</w:t>
      </w:r>
      <w:r w:rsidRPr="00075BD7">
        <w:rPr>
          <w:rFonts w:ascii="仿宋_GB2312" w:eastAsia="仿宋_GB2312" w:cs="宋体"/>
          <w:color w:val="000000"/>
          <w:sz w:val="32"/>
          <w:szCs w:val="32"/>
        </w:rPr>
        <w:t>WORD</w:t>
      </w:r>
      <w:r w:rsidRPr="00075BD7">
        <w:rPr>
          <w:rFonts w:ascii="仿宋_GB2312" w:eastAsia="仿宋_GB2312" w:hAnsi="仿宋" w:cs="宋体" w:hint="eastAsia"/>
          <w:color w:val="000000"/>
          <w:sz w:val="32"/>
          <w:szCs w:val="32"/>
        </w:rPr>
        <w:t>或</w:t>
      </w:r>
      <w:r w:rsidRPr="00075BD7">
        <w:rPr>
          <w:rFonts w:ascii="仿宋_GB2312" w:eastAsia="仿宋_GB2312" w:cs="宋体"/>
          <w:color w:val="000000"/>
          <w:sz w:val="32"/>
          <w:szCs w:val="32"/>
        </w:rPr>
        <w:t>PDF</w:t>
      </w:r>
      <w:r w:rsidRPr="00075BD7">
        <w:rPr>
          <w:rFonts w:ascii="仿宋_GB2312" w:eastAsia="仿宋_GB2312" w:hAnsi="仿宋" w:cs="宋体" w:hint="eastAsia"/>
          <w:color w:val="000000"/>
          <w:sz w:val="32"/>
          <w:szCs w:val="32"/>
        </w:rPr>
        <w:t>格式）至学院，学院在核实电子版和纸制版一致后将电子版提交研究生院，研究生院检测后将结果返回各学院。</w:t>
      </w:r>
    </w:p>
    <w:p w:rsidR="00951EE1" w:rsidRPr="00075BD7" w:rsidRDefault="00951EE1" w:rsidP="00507BC1">
      <w:pPr>
        <w:spacing w:line="480" w:lineRule="exact"/>
        <w:ind w:firstLineChars="200" w:firstLine="640"/>
        <w:rPr>
          <w:rFonts w:ascii="仿宋_GB2312" w:eastAsia="仿宋_GB2312" w:cs="宋体"/>
          <w:color w:val="000000"/>
          <w:sz w:val="32"/>
          <w:szCs w:val="32"/>
        </w:rPr>
      </w:pPr>
      <w:r w:rsidRPr="005E5568">
        <w:rPr>
          <w:rFonts w:ascii="黑体" w:eastAsia="黑体" w:hAnsi="黑体" w:cs="宋体" w:hint="eastAsia"/>
          <w:bCs/>
          <w:color w:val="000000"/>
          <w:sz w:val="32"/>
          <w:szCs w:val="32"/>
        </w:rPr>
        <w:t>第五条</w:t>
      </w:r>
      <w:r w:rsidRPr="00075BD7">
        <w:rPr>
          <w:rFonts w:ascii="仿宋_GB2312" w:eastAsia="仿宋_GB2312" w:hAnsi="仿宋" w:cs="宋体" w:hint="eastAsia"/>
          <w:color w:val="FF0000"/>
          <w:kern w:val="0"/>
          <w:sz w:val="32"/>
          <w:szCs w:val="32"/>
        </w:rPr>
        <w:t xml:space="preserve">　</w:t>
      </w:r>
      <w:r w:rsidRPr="00075BD7">
        <w:rPr>
          <w:rFonts w:ascii="仿宋_GB2312" w:eastAsia="仿宋_GB2312" w:hAnsi="仿宋" w:cs="宋体" w:hint="eastAsia"/>
          <w:color w:val="000000"/>
          <w:sz w:val="32"/>
          <w:szCs w:val="32"/>
        </w:rPr>
        <w:t>检测时间安排。学院在学位论文送审前一周将学位论文电子版提交至研究生院，研究生院在</w:t>
      </w:r>
      <w:r w:rsidRPr="00075BD7">
        <w:rPr>
          <w:rFonts w:ascii="仿宋_GB2312" w:eastAsia="仿宋_GB2312" w:hAnsi="仿宋" w:cs="宋体"/>
          <w:color w:val="000000"/>
          <w:sz w:val="32"/>
          <w:szCs w:val="32"/>
        </w:rPr>
        <w:t>5</w:t>
      </w:r>
      <w:r w:rsidRPr="00075BD7">
        <w:rPr>
          <w:rFonts w:ascii="仿宋_GB2312" w:eastAsia="仿宋_GB2312" w:hAnsi="仿宋" w:cs="宋体" w:hint="eastAsia"/>
          <w:color w:val="000000"/>
          <w:sz w:val="32"/>
          <w:szCs w:val="32"/>
        </w:rPr>
        <w:t>个工作日内给出学位论文检测结果。</w:t>
      </w:r>
    </w:p>
    <w:p w:rsidR="00951EE1" w:rsidRPr="00075BD7" w:rsidRDefault="00951EE1" w:rsidP="00507BC1">
      <w:pPr>
        <w:spacing w:line="480" w:lineRule="exact"/>
        <w:ind w:firstLineChars="200" w:firstLine="640"/>
        <w:rPr>
          <w:rFonts w:ascii="仿宋_GB2312" w:eastAsia="仿宋_GB2312" w:cs="宋体"/>
          <w:color w:val="000000"/>
          <w:sz w:val="32"/>
          <w:szCs w:val="32"/>
        </w:rPr>
      </w:pPr>
      <w:r w:rsidRPr="005E5568">
        <w:rPr>
          <w:rFonts w:ascii="黑体" w:eastAsia="黑体" w:hAnsi="黑体" w:cs="宋体" w:hint="eastAsia"/>
          <w:bCs/>
          <w:color w:val="000000"/>
          <w:sz w:val="32"/>
          <w:szCs w:val="32"/>
        </w:rPr>
        <w:t>第六条</w:t>
      </w:r>
      <w:r w:rsidRPr="00075BD7">
        <w:rPr>
          <w:rFonts w:ascii="仿宋_GB2312" w:eastAsia="仿宋_GB2312" w:hAnsi="仿宋" w:cs="宋体" w:hint="eastAsia"/>
          <w:color w:val="FF0000"/>
          <w:kern w:val="0"/>
          <w:sz w:val="32"/>
          <w:szCs w:val="32"/>
        </w:rPr>
        <w:t xml:space="preserve">　</w:t>
      </w:r>
      <w:r w:rsidRPr="00075BD7">
        <w:rPr>
          <w:rFonts w:ascii="仿宋_GB2312" w:eastAsia="仿宋_GB2312" w:hAnsi="仿宋" w:cs="宋体" w:hint="eastAsia"/>
          <w:color w:val="000000"/>
          <w:sz w:val="32"/>
          <w:szCs w:val="32"/>
        </w:rPr>
        <w:t>检测结果处理办法。</w:t>
      </w:r>
    </w:p>
    <w:p w:rsidR="00951EE1" w:rsidRPr="00075BD7" w:rsidRDefault="00951EE1" w:rsidP="00507BC1">
      <w:pPr>
        <w:spacing w:line="480" w:lineRule="exact"/>
        <w:ind w:firstLineChars="200" w:firstLine="640"/>
        <w:rPr>
          <w:rFonts w:ascii="仿宋_GB2312" w:eastAsia="仿宋_GB2312" w:cs="宋体"/>
          <w:color w:val="000000"/>
          <w:sz w:val="32"/>
          <w:szCs w:val="32"/>
        </w:rPr>
      </w:pPr>
      <w:r w:rsidRPr="00075BD7">
        <w:rPr>
          <w:rFonts w:ascii="仿宋_GB2312" w:eastAsia="仿宋_GB2312" w:hAnsi="仿宋" w:cs="宋体" w:hint="eastAsia"/>
          <w:color w:val="000000"/>
          <w:sz w:val="32"/>
          <w:szCs w:val="32"/>
        </w:rPr>
        <w:t>检测结果仅用于预防和辅助认定学位论文写作过程中出现的学术不端行为，不作为处理依据，具体结论需结合指导教师和学位评定分委员会的判断后，才能作出实质性审查结论。</w:t>
      </w:r>
    </w:p>
    <w:p w:rsidR="00951EE1" w:rsidRPr="00075BD7" w:rsidRDefault="00951EE1" w:rsidP="00507BC1">
      <w:pPr>
        <w:spacing w:line="480" w:lineRule="exact"/>
        <w:ind w:firstLineChars="200" w:firstLine="640"/>
        <w:rPr>
          <w:rFonts w:ascii="仿宋_GB2312" w:eastAsia="仿宋_GB2312" w:cs="宋体"/>
          <w:color w:val="000000"/>
          <w:sz w:val="32"/>
          <w:szCs w:val="32"/>
        </w:rPr>
      </w:pPr>
      <w:r w:rsidRPr="00075BD7">
        <w:rPr>
          <w:rFonts w:ascii="仿宋_GB2312" w:eastAsia="仿宋_GB2312" w:cs="宋体" w:hint="eastAsia"/>
          <w:color w:val="000000"/>
          <w:sz w:val="32"/>
          <w:szCs w:val="32"/>
        </w:rPr>
        <w:t>“</w:t>
      </w:r>
      <w:r w:rsidRPr="00075BD7">
        <w:rPr>
          <w:rFonts w:ascii="仿宋_GB2312" w:eastAsia="仿宋_GB2312" w:hAnsi="仿宋" w:cs="宋体" w:hint="eastAsia"/>
          <w:color w:val="000000"/>
          <w:sz w:val="32"/>
          <w:szCs w:val="32"/>
        </w:rPr>
        <w:t>总文字复制比”是指学位论文中总的重合字数在总的论文字数中所占的比例，学位论文总文字复制比率检测结果的认定与处理办法如下：</w:t>
      </w:r>
    </w:p>
    <w:p w:rsidR="00951EE1" w:rsidRPr="00075BD7" w:rsidRDefault="00951EE1" w:rsidP="00507BC1">
      <w:pPr>
        <w:spacing w:line="480" w:lineRule="exact"/>
        <w:ind w:firstLineChars="200" w:firstLine="640"/>
        <w:rPr>
          <w:rFonts w:ascii="仿宋_GB2312" w:eastAsia="仿宋_GB2312" w:cs="宋体"/>
          <w:color w:val="000000"/>
          <w:sz w:val="32"/>
          <w:szCs w:val="32"/>
        </w:rPr>
      </w:pPr>
      <w:r>
        <w:rPr>
          <w:rFonts w:ascii="仿宋_GB2312" w:eastAsia="仿宋_GB2312" w:cs="宋体"/>
          <w:color w:val="000000"/>
          <w:sz w:val="32"/>
          <w:szCs w:val="32"/>
        </w:rPr>
        <w:lastRenderedPageBreak/>
        <w:t>1.</w:t>
      </w:r>
      <w:r w:rsidRPr="00075BD7">
        <w:rPr>
          <w:rFonts w:ascii="仿宋_GB2312" w:eastAsia="仿宋_GB2312" w:hAnsi="仿宋" w:cs="宋体" w:hint="eastAsia"/>
          <w:color w:val="000000"/>
          <w:sz w:val="32"/>
          <w:szCs w:val="32"/>
        </w:rPr>
        <w:t>学位论文总文字复制比率</w:t>
      </w:r>
      <w:r w:rsidRPr="00075BD7">
        <w:rPr>
          <w:rFonts w:ascii="仿宋_GB2312" w:eastAsia="仿宋_GB2312" w:cs="宋体" w:hint="eastAsia"/>
          <w:color w:val="000000"/>
          <w:sz w:val="32"/>
          <w:szCs w:val="32"/>
        </w:rPr>
        <w:t>≤</w:t>
      </w:r>
      <w:r w:rsidRPr="00075BD7">
        <w:rPr>
          <w:rFonts w:ascii="仿宋_GB2312" w:eastAsia="仿宋_GB2312" w:cs="宋体"/>
          <w:color w:val="000000"/>
          <w:sz w:val="32"/>
          <w:szCs w:val="32"/>
        </w:rPr>
        <w:t>25%</w:t>
      </w:r>
      <w:r w:rsidRPr="00075BD7">
        <w:rPr>
          <w:rFonts w:ascii="仿宋_GB2312" w:eastAsia="仿宋_GB2312" w:hAnsi="仿宋" w:cs="宋体" w:hint="eastAsia"/>
          <w:color w:val="000000"/>
          <w:sz w:val="32"/>
          <w:szCs w:val="32"/>
        </w:rPr>
        <w:t>的学位论文，由导师审查和认定，导师可做出直接送审、修改后送审或延期答辩等处理意见。</w:t>
      </w:r>
    </w:p>
    <w:p w:rsidR="00951EE1" w:rsidRPr="00075BD7" w:rsidRDefault="00951EE1" w:rsidP="00507BC1">
      <w:pPr>
        <w:spacing w:line="480" w:lineRule="exact"/>
        <w:ind w:firstLineChars="200" w:firstLine="640"/>
        <w:rPr>
          <w:rFonts w:ascii="仿宋_GB2312" w:eastAsia="仿宋_GB2312" w:cs="宋体"/>
          <w:color w:val="000000"/>
          <w:sz w:val="32"/>
          <w:szCs w:val="32"/>
        </w:rPr>
      </w:pPr>
      <w:r>
        <w:rPr>
          <w:rFonts w:ascii="仿宋_GB2312" w:eastAsia="仿宋_GB2312" w:cs="宋体"/>
          <w:color w:val="000000"/>
          <w:sz w:val="32"/>
          <w:szCs w:val="32"/>
        </w:rPr>
        <w:t>2.</w:t>
      </w:r>
      <w:r w:rsidRPr="00075BD7">
        <w:rPr>
          <w:rFonts w:ascii="仿宋_GB2312" w:eastAsia="仿宋_GB2312" w:hAnsi="仿宋" w:cs="宋体" w:hint="eastAsia"/>
          <w:color w:val="000000"/>
          <w:sz w:val="32"/>
          <w:szCs w:val="32"/>
        </w:rPr>
        <w:t>学位论文总文字复制比率在</w:t>
      </w:r>
      <w:r w:rsidRPr="00075BD7">
        <w:rPr>
          <w:rFonts w:ascii="仿宋_GB2312" w:eastAsia="仿宋_GB2312" w:cs="宋体"/>
          <w:color w:val="000000"/>
          <w:sz w:val="32"/>
          <w:szCs w:val="32"/>
        </w:rPr>
        <w:t>25%</w:t>
      </w:r>
      <w:r w:rsidRPr="00075BD7">
        <w:rPr>
          <w:rFonts w:ascii="仿宋_GB2312" w:eastAsia="仿宋_GB2312" w:hAnsi="仿宋" w:cs="宋体" w:hint="eastAsia"/>
          <w:color w:val="000000"/>
          <w:sz w:val="32"/>
          <w:szCs w:val="32"/>
        </w:rPr>
        <w:t>～</w:t>
      </w:r>
      <w:r w:rsidRPr="00075BD7">
        <w:rPr>
          <w:rFonts w:ascii="仿宋_GB2312" w:eastAsia="仿宋_GB2312" w:cs="宋体"/>
          <w:color w:val="000000"/>
          <w:sz w:val="32"/>
          <w:szCs w:val="32"/>
        </w:rPr>
        <w:t>50%</w:t>
      </w:r>
      <w:r w:rsidRPr="00075BD7">
        <w:rPr>
          <w:rFonts w:ascii="仿宋_GB2312" w:eastAsia="仿宋_GB2312" w:hAnsi="仿宋" w:cs="宋体" w:hint="eastAsia"/>
          <w:color w:val="000000"/>
          <w:sz w:val="32"/>
          <w:szCs w:val="32"/>
        </w:rPr>
        <w:t>之间的学位论文，由学位评定分委员会组织专家进行鉴定，确认是否存在学术不端行为，如查实无学术不端行为者，学位论文修改时间原则上不少于一个月，具体时间由学位评定分委员会确定，修改后的学位论文需经导师和学位评定分委员会同意，并填写复检申请表（</w:t>
      </w:r>
      <w:r>
        <w:rPr>
          <w:rFonts w:ascii="仿宋_GB2312" w:eastAsia="仿宋_GB2312" w:hAnsi="仿宋" w:cs="宋体" w:hint="eastAsia"/>
          <w:color w:val="000000"/>
          <w:sz w:val="32"/>
          <w:szCs w:val="32"/>
        </w:rPr>
        <w:t>见</w:t>
      </w:r>
      <w:r w:rsidRPr="00075BD7">
        <w:rPr>
          <w:rFonts w:ascii="仿宋_GB2312" w:eastAsia="仿宋_GB2312" w:hAnsi="仿宋" w:cs="宋体" w:hint="eastAsia"/>
          <w:color w:val="000000"/>
          <w:sz w:val="32"/>
          <w:szCs w:val="32"/>
        </w:rPr>
        <w:t>附件</w:t>
      </w:r>
      <w:r>
        <w:rPr>
          <w:rFonts w:ascii="仿宋_GB2312" w:eastAsia="仿宋_GB2312" w:hAnsi="仿宋" w:cs="宋体"/>
          <w:color w:val="000000"/>
          <w:sz w:val="32"/>
          <w:szCs w:val="32"/>
        </w:rPr>
        <w:t>2-1</w:t>
      </w:r>
      <w:r w:rsidRPr="00075BD7">
        <w:rPr>
          <w:rFonts w:ascii="仿宋_GB2312" w:eastAsia="仿宋_GB2312" w:hAnsi="仿宋" w:cs="宋体" w:hint="eastAsia"/>
          <w:color w:val="000000"/>
          <w:sz w:val="32"/>
          <w:szCs w:val="32"/>
        </w:rPr>
        <w:t>）后申请复检；如查实存在学术不端行为者，按《南京理工大学学位论文作假行为处理办法》规定执行。</w:t>
      </w:r>
    </w:p>
    <w:p w:rsidR="00951EE1" w:rsidRPr="00075BD7" w:rsidRDefault="00951EE1" w:rsidP="00507BC1">
      <w:pPr>
        <w:spacing w:line="480" w:lineRule="exact"/>
        <w:ind w:firstLineChars="200" w:firstLine="640"/>
        <w:rPr>
          <w:rFonts w:ascii="仿宋_GB2312" w:eastAsia="仿宋_GB2312" w:cs="宋体"/>
          <w:color w:val="000000"/>
          <w:sz w:val="32"/>
          <w:szCs w:val="32"/>
        </w:rPr>
      </w:pPr>
      <w:r>
        <w:rPr>
          <w:rFonts w:ascii="仿宋_GB2312" w:eastAsia="仿宋_GB2312" w:cs="宋体"/>
          <w:color w:val="000000"/>
          <w:sz w:val="32"/>
          <w:szCs w:val="32"/>
        </w:rPr>
        <w:t>3.</w:t>
      </w:r>
      <w:r w:rsidRPr="00075BD7">
        <w:rPr>
          <w:rFonts w:ascii="仿宋_GB2312" w:eastAsia="仿宋_GB2312" w:hAnsi="仿宋" w:cs="宋体" w:hint="eastAsia"/>
          <w:color w:val="000000"/>
          <w:sz w:val="32"/>
          <w:szCs w:val="32"/>
        </w:rPr>
        <w:t>学位论文总文字复制比率</w:t>
      </w:r>
      <w:r w:rsidRPr="00075BD7">
        <w:rPr>
          <w:rFonts w:ascii="仿宋_GB2312" w:eastAsia="仿宋_GB2312" w:cs="宋体" w:hint="eastAsia"/>
          <w:color w:val="000000"/>
          <w:sz w:val="32"/>
          <w:szCs w:val="32"/>
        </w:rPr>
        <w:t>≥</w:t>
      </w:r>
      <w:r w:rsidRPr="00075BD7">
        <w:rPr>
          <w:rFonts w:ascii="仿宋_GB2312" w:eastAsia="仿宋_GB2312" w:cs="宋体"/>
          <w:color w:val="000000"/>
          <w:sz w:val="32"/>
          <w:szCs w:val="32"/>
        </w:rPr>
        <w:t>50%</w:t>
      </w:r>
      <w:r w:rsidRPr="00075BD7">
        <w:rPr>
          <w:rFonts w:ascii="仿宋_GB2312" w:eastAsia="仿宋_GB2312" w:hAnsi="仿宋" w:cs="宋体" w:hint="eastAsia"/>
          <w:color w:val="000000"/>
          <w:sz w:val="32"/>
          <w:szCs w:val="32"/>
        </w:rPr>
        <w:t>或复检结果</w:t>
      </w:r>
      <w:r w:rsidRPr="00075BD7">
        <w:rPr>
          <w:rFonts w:ascii="仿宋_GB2312" w:eastAsia="仿宋_GB2312" w:cs="宋体" w:hint="eastAsia"/>
          <w:color w:val="000000"/>
          <w:sz w:val="32"/>
          <w:szCs w:val="32"/>
        </w:rPr>
        <w:t>≥</w:t>
      </w:r>
      <w:r w:rsidRPr="00075BD7">
        <w:rPr>
          <w:rFonts w:ascii="仿宋_GB2312" w:eastAsia="仿宋_GB2312" w:cs="宋体"/>
          <w:color w:val="000000"/>
          <w:sz w:val="32"/>
          <w:szCs w:val="32"/>
        </w:rPr>
        <w:t>25%</w:t>
      </w:r>
      <w:r w:rsidRPr="00075BD7">
        <w:rPr>
          <w:rFonts w:ascii="仿宋_GB2312" w:eastAsia="仿宋_GB2312" w:hAnsi="仿宋" w:cs="宋体" w:hint="eastAsia"/>
          <w:color w:val="000000"/>
          <w:sz w:val="32"/>
          <w:szCs w:val="32"/>
        </w:rPr>
        <w:t>的学位论文，由学位评定分委员会组织专家进行鉴定，确认是否存在学术不端行为，如查实无学术不端行为者，学位论文延期至少半年以上答辩，修改后的学位论文需经导师和学位评定分委员会同意，并填写复检申请表（</w:t>
      </w:r>
      <w:r>
        <w:rPr>
          <w:rFonts w:ascii="仿宋_GB2312" w:eastAsia="仿宋_GB2312" w:hAnsi="仿宋" w:cs="宋体" w:hint="eastAsia"/>
          <w:color w:val="000000"/>
          <w:sz w:val="32"/>
          <w:szCs w:val="32"/>
        </w:rPr>
        <w:t>见</w:t>
      </w:r>
      <w:r w:rsidRPr="00075BD7">
        <w:rPr>
          <w:rFonts w:ascii="仿宋_GB2312" w:eastAsia="仿宋_GB2312" w:hAnsi="仿宋" w:cs="宋体" w:hint="eastAsia"/>
          <w:color w:val="000000"/>
          <w:sz w:val="32"/>
          <w:szCs w:val="32"/>
        </w:rPr>
        <w:t>附件）后申请复检；如查实存在学术不端行为者，按《南京理工大学学位论文作假行为处理办法》规定执行。</w:t>
      </w:r>
    </w:p>
    <w:p w:rsidR="00951EE1" w:rsidRPr="00075BD7" w:rsidRDefault="00951EE1" w:rsidP="00507BC1">
      <w:pPr>
        <w:spacing w:line="480" w:lineRule="exact"/>
        <w:ind w:firstLineChars="200" w:firstLine="640"/>
        <w:rPr>
          <w:rFonts w:ascii="仿宋_GB2312" w:eastAsia="仿宋_GB2312" w:cs="宋体"/>
          <w:color w:val="000000"/>
          <w:sz w:val="32"/>
          <w:szCs w:val="32"/>
        </w:rPr>
      </w:pPr>
      <w:r>
        <w:rPr>
          <w:rFonts w:ascii="仿宋_GB2312" w:eastAsia="仿宋_GB2312" w:cs="宋体"/>
          <w:color w:val="000000"/>
          <w:sz w:val="32"/>
          <w:szCs w:val="32"/>
        </w:rPr>
        <w:t>4.</w:t>
      </w:r>
      <w:r w:rsidRPr="00075BD7">
        <w:rPr>
          <w:rFonts w:ascii="仿宋_GB2312" w:eastAsia="仿宋_GB2312" w:hAnsi="仿宋" w:cs="宋体" w:hint="eastAsia"/>
          <w:color w:val="000000"/>
          <w:sz w:val="32"/>
          <w:szCs w:val="32"/>
        </w:rPr>
        <w:t>各学位评定分委员会可根据以上处理办法提出更高的要求，有关要求需向所属学科领域的研究生和导师公示，并报研究生院备案后执行。</w:t>
      </w:r>
    </w:p>
    <w:p w:rsidR="00951EE1" w:rsidRPr="00075BD7" w:rsidRDefault="00951EE1" w:rsidP="00507BC1">
      <w:pPr>
        <w:spacing w:line="480" w:lineRule="exact"/>
        <w:ind w:firstLineChars="200" w:firstLine="640"/>
        <w:rPr>
          <w:rFonts w:ascii="仿宋_GB2312" w:eastAsia="仿宋_GB2312" w:cs="宋体"/>
          <w:color w:val="000000"/>
          <w:sz w:val="32"/>
          <w:szCs w:val="32"/>
        </w:rPr>
      </w:pPr>
      <w:r w:rsidRPr="005972A3">
        <w:rPr>
          <w:rFonts w:ascii="黑体" w:eastAsia="黑体" w:hAnsi="黑体" w:cs="宋体" w:hint="eastAsia"/>
          <w:bCs/>
          <w:color w:val="000000"/>
          <w:sz w:val="32"/>
          <w:szCs w:val="32"/>
        </w:rPr>
        <w:t>第七条</w:t>
      </w:r>
      <w:r w:rsidRPr="00075BD7">
        <w:rPr>
          <w:rFonts w:ascii="仿宋_GB2312" w:eastAsia="仿宋_GB2312" w:hAnsi="仿宋" w:cs="宋体" w:hint="eastAsia"/>
          <w:color w:val="FF0000"/>
          <w:kern w:val="0"/>
          <w:sz w:val="32"/>
          <w:szCs w:val="32"/>
        </w:rPr>
        <w:t xml:space="preserve">　</w:t>
      </w:r>
      <w:r w:rsidRPr="00075BD7">
        <w:rPr>
          <w:rFonts w:ascii="仿宋_GB2312" w:eastAsia="仿宋_GB2312" w:hAnsi="仿宋" w:cs="宋体" w:hint="eastAsia"/>
          <w:color w:val="000000"/>
          <w:sz w:val="32"/>
          <w:szCs w:val="32"/>
        </w:rPr>
        <w:t>对处理有异议的当事人，在收到处理决定</w:t>
      </w:r>
      <w:r w:rsidRPr="00075BD7">
        <w:rPr>
          <w:rFonts w:ascii="仿宋_GB2312" w:eastAsia="仿宋_GB2312" w:cs="宋体"/>
          <w:color w:val="000000"/>
          <w:sz w:val="32"/>
          <w:szCs w:val="32"/>
        </w:rPr>
        <w:t>5</w:t>
      </w:r>
      <w:r w:rsidRPr="00075BD7">
        <w:rPr>
          <w:rFonts w:ascii="仿宋_GB2312" w:eastAsia="仿宋_GB2312" w:hAnsi="仿宋" w:cs="宋体" w:hint="eastAsia"/>
          <w:color w:val="000000"/>
          <w:sz w:val="32"/>
          <w:szCs w:val="32"/>
        </w:rPr>
        <w:t>个工作日内向研究生院提出书面申诉，研究生院组织专家对申述进行复议，并在</w:t>
      </w:r>
      <w:r w:rsidRPr="00075BD7">
        <w:rPr>
          <w:rFonts w:ascii="仿宋_GB2312" w:eastAsia="仿宋_GB2312" w:cs="宋体"/>
          <w:color w:val="000000"/>
          <w:sz w:val="32"/>
          <w:szCs w:val="32"/>
        </w:rPr>
        <w:t>15</w:t>
      </w:r>
      <w:r w:rsidRPr="00075BD7">
        <w:rPr>
          <w:rFonts w:ascii="仿宋_GB2312" w:eastAsia="仿宋_GB2312" w:hAnsi="仿宋" w:cs="宋体" w:hint="eastAsia"/>
          <w:color w:val="000000"/>
          <w:sz w:val="32"/>
          <w:szCs w:val="32"/>
        </w:rPr>
        <w:t>个工作日内反馈复议结论。</w:t>
      </w:r>
    </w:p>
    <w:p w:rsidR="00951EE1" w:rsidRPr="00075BD7" w:rsidRDefault="00951EE1" w:rsidP="00507BC1">
      <w:pPr>
        <w:spacing w:line="480" w:lineRule="exact"/>
        <w:ind w:firstLineChars="200" w:firstLine="640"/>
        <w:rPr>
          <w:rFonts w:ascii="仿宋_GB2312" w:eastAsia="仿宋_GB2312" w:cs="宋体"/>
          <w:color w:val="000000"/>
          <w:sz w:val="32"/>
          <w:szCs w:val="32"/>
        </w:rPr>
      </w:pPr>
      <w:r w:rsidRPr="00075BD7">
        <w:rPr>
          <w:rFonts w:ascii="仿宋_GB2312" w:eastAsia="仿宋_GB2312" w:hAnsi="仿宋" w:cs="宋体" w:hint="eastAsia"/>
          <w:color w:val="000000"/>
          <w:sz w:val="32"/>
          <w:szCs w:val="32"/>
        </w:rPr>
        <w:t>复议结论确认不属于学位论文学术不端行为的，且当事人已经做出必要修改，可接受其学位论文答辩申请。</w:t>
      </w:r>
    </w:p>
    <w:p w:rsidR="00951EE1" w:rsidRPr="00075BD7" w:rsidRDefault="00951EE1" w:rsidP="00507BC1">
      <w:pPr>
        <w:spacing w:line="480" w:lineRule="exact"/>
        <w:ind w:firstLineChars="200" w:firstLine="640"/>
        <w:rPr>
          <w:rFonts w:ascii="仿宋_GB2312" w:eastAsia="仿宋_GB2312" w:cs="宋体"/>
          <w:color w:val="000000"/>
          <w:sz w:val="32"/>
          <w:szCs w:val="32"/>
        </w:rPr>
      </w:pPr>
      <w:r w:rsidRPr="005972A3">
        <w:rPr>
          <w:rFonts w:ascii="黑体" w:eastAsia="黑体" w:hAnsi="黑体" w:cs="宋体" w:hint="eastAsia"/>
          <w:bCs/>
          <w:color w:val="000000"/>
          <w:sz w:val="32"/>
          <w:szCs w:val="32"/>
        </w:rPr>
        <w:t>第八条</w:t>
      </w:r>
      <w:r w:rsidRPr="00075BD7">
        <w:rPr>
          <w:rFonts w:ascii="仿宋_GB2312" w:eastAsia="仿宋_GB2312" w:hAnsi="仿宋" w:cs="宋体" w:hint="eastAsia"/>
          <w:color w:val="FF0000"/>
          <w:kern w:val="0"/>
          <w:sz w:val="32"/>
          <w:szCs w:val="32"/>
        </w:rPr>
        <w:t xml:space="preserve">　</w:t>
      </w:r>
      <w:r w:rsidRPr="00075BD7">
        <w:rPr>
          <w:rFonts w:ascii="仿宋_GB2312" w:eastAsia="仿宋_GB2312" w:hAnsi="仿宋" w:cs="宋体" w:hint="eastAsia"/>
          <w:color w:val="000000"/>
          <w:sz w:val="32"/>
          <w:szCs w:val="32"/>
        </w:rPr>
        <w:t>检测系统仅用于防止学位论文在撰写过程之中出现的学术不端行为，并不保证学位论文的质量和水平，</w:t>
      </w:r>
      <w:r w:rsidRPr="00075BD7">
        <w:rPr>
          <w:rFonts w:ascii="仿宋_GB2312" w:eastAsia="仿宋_GB2312" w:hAnsi="仿宋" w:cs="宋体" w:hint="eastAsia"/>
          <w:color w:val="000000"/>
          <w:sz w:val="32"/>
          <w:szCs w:val="32"/>
        </w:rPr>
        <w:lastRenderedPageBreak/>
        <w:t>各学位评定分委员会和指导教师应加强学位论文的全过程管理，采取有效措施，切实提高研究生学位论文质量。</w:t>
      </w:r>
    </w:p>
    <w:p w:rsidR="00951EE1" w:rsidRPr="008E6178" w:rsidRDefault="00951EE1" w:rsidP="00507BC1">
      <w:pPr>
        <w:spacing w:line="480" w:lineRule="exact"/>
        <w:ind w:firstLineChars="196" w:firstLine="588"/>
        <w:rPr>
          <w:rFonts w:ascii="仿宋_GB2312" w:eastAsia="仿宋_GB2312" w:hAnsi="仿宋" w:cs="黑体"/>
          <w:spacing w:val="-10"/>
          <w:sz w:val="32"/>
          <w:szCs w:val="32"/>
        </w:rPr>
      </w:pPr>
      <w:r w:rsidRPr="005972A3">
        <w:rPr>
          <w:rFonts w:ascii="黑体" w:eastAsia="黑体" w:hAnsi="黑体" w:cs="宋体" w:hint="eastAsia"/>
          <w:bCs/>
          <w:color w:val="000000"/>
          <w:spacing w:val="-10"/>
          <w:sz w:val="32"/>
          <w:szCs w:val="32"/>
        </w:rPr>
        <w:t>第九条</w:t>
      </w:r>
      <w:r w:rsidRPr="00136E8B">
        <w:rPr>
          <w:rFonts w:ascii="仿宋_GB2312" w:eastAsia="仿宋_GB2312" w:hAnsi="仿宋" w:cs="宋体" w:hint="eastAsia"/>
          <w:color w:val="FF0000"/>
          <w:spacing w:val="-10"/>
          <w:kern w:val="0"/>
          <w:sz w:val="32"/>
          <w:szCs w:val="32"/>
        </w:rPr>
        <w:t xml:space="preserve">　</w:t>
      </w:r>
      <w:r w:rsidRPr="00136E8B">
        <w:rPr>
          <w:rFonts w:ascii="仿宋_GB2312" w:eastAsia="仿宋_GB2312" w:hAnsi="仿宋" w:cs="黑体" w:hint="eastAsia"/>
          <w:spacing w:val="-10"/>
          <w:sz w:val="32"/>
          <w:szCs w:val="32"/>
        </w:rPr>
        <w:t>本办法自公布之日起施行，由研究生院负责解释。</w:t>
      </w:r>
    </w:p>
    <w:p w:rsidR="00951EE1" w:rsidRDefault="00951EE1" w:rsidP="00075BD7">
      <w:pPr>
        <w:widowControl/>
        <w:shd w:val="clear" w:color="auto" w:fill="FFFFFF"/>
        <w:wordWrap w:val="0"/>
        <w:spacing w:line="500" w:lineRule="atLeast"/>
        <w:jc w:val="left"/>
        <w:textAlignment w:val="top"/>
        <w:rPr>
          <w:rFonts w:ascii="黑体" w:eastAsia="黑体" w:hAnsi="黑体" w:cs="宋体"/>
          <w:bCs/>
          <w:color w:val="313131"/>
          <w:kern w:val="0"/>
          <w:sz w:val="32"/>
          <w:szCs w:val="32"/>
        </w:rPr>
      </w:pPr>
    </w:p>
    <w:p w:rsidR="00951EE1" w:rsidRDefault="00951EE1" w:rsidP="00075BD7">
      <w:pPr>
        <w:widowControl/>
        <w:shd w:val="clear" w:color="auto" w:fill="FFFFFF"/>
        <w:wordWrap w:val="0"/>
        <w:spacing w:line="500" w:lineRule="atLeast"/>
        <w:jc w:val="left"/>
        <w:textAlignment w:val="top"/>
        <w:rPr>
          <w:rFonts w:ascii="黑体" w:eastAsia="黑体" w:hAnsi="黑体" w:cs="宋体"/>
          <w:bCs/>
          <w:color w:val="313131"/>
          <w:kern w:val="0"/>
          <w:sz w:val="32"/>
          <w:szCs w:val="32"/>
        </w:rPr>
      </w:pPr>
      <w:bookmarkStart w:id="2" w:name="_GoBack"/>
      <w:bookmarkEnd w:id="2"/>
    </w:p>
    <w:p w:rsidR="00951EE1" w:rsidRDefault="00951EE1" w:rsidP="00075BD7">
      <w:pPr>
        <w:widowControl/>
        <w:shd w:val="clear" w:color="auto" w:fill="FFFFFF"/>
        <w:wordWrap w:val="0"/>
        <w:spacing w:line="500" w:lineRule="atLeast"/>
        <w:jc w:val="left"/>
        <w:textAlignment w:val="top"/>
        <w:rPr>
          <w:rFonts w:ascii="黑体" w:eastAsia="黑体" w:hAnsi="黑体" w:cs="宋体"/>
          <w:bCs/>
          <w:color w:val="313131"/>
          <w:kern w:val="0"/>
          <w:sz w:val="32"/>
          <w:szCs w:val="32"/>
        </w:rPr>
      </w:pPr>
    </w:p>
    <w:p w:rsidR="00951EE1" w:rsidRDefault="00951EE1" w:rsidP="00075BD7">
      <w:pPr>
        <w:widowControl/>
        <w:shd w:val="clear" w:color="auto" w:fill="FFFFFF"/>
        <w:wordWrap w:val="0"/>
        <w:spacing w:line="500" w:lineRule="atLeast"/>
        <w:jc w:val="left"/>
        <w:textAlignment w:val="top"/>
        <w:rPr>
          <w:rFonts w:ascii="黑体" w:eastAsia="黑体" w:hAnsi="黑体" w:cs="宋体"/>
          <w:bCs/>
          <w:color w:val="313131"/>
          <w:kern w:val="0"/>
          <w:sz w:val="32"/>
          <w:szCs w:val="32"/>
        </w:rPr>
      </w:pPr>
    </w:p>
    <w:p w:rsidR="00951EE1" w:rsidRDefault="00951EE1" w:rsidP="00075BD7">
      <w:pPr>
        <w:widowControl/>
        <w:shd w:val="clear" w:color="auto" w:fill="FFFFFF"/>
        <w:wordWrap w:val="0"/>
        <w:spacing w:line="500" w:lineRule="atLeast"/>
        <w:jc w:val="left"/>
        <w:textAlignment w:val="top"/>
        <w:rPr>
          <w:rFonts w:ascii="黑体" w:eastAsia="黑体" w:hAnsi="黑体" w:cs="宋体"/>
          <w:bCs/>
          <w:color w:val="313131"/>
          <w:kern w:val="0"/>
          <w:sz w:val="32"/>
          <w:szCs w:val="32"/>
        </w:rPr>
      </w:pPr>
    </w:p>
    <w:p w:rsidR="00951EE1" w:rsidRDefault="00951EE1" w:rsidP="00075BD7">
      <w:pPr>
        <w:widowControl/>
        <w:shd w:val="clear" w:color="auto" w:fill="FFFFFF"/>
        <w:wordWrap w:val="0"/>
        <w:spacing w:line="500" w:lineRule="atLeast"/>
        <w:jc w:val="left"/>
        <w:textAlignment w:val="top"/>
        <w:rPr>
          <w:rFonts w:ascii="黑体" w:eastAsia="黑体" w:hAnsi="黑体" w:cs="宋体"/>
          <w:bCs/>
          <w:color w:val="313131"/>
          <w:kern w:val="0"/>
          <w:sz w:val="32"/>
          <w:szCs w:val="32"/>
        </w:rPr>
      </w:pPr>
    </w:p>
    <w:p w:rsidR="00951EE1" w:rsidRDefault="00951EE1" w:rsidP="00075BD7">
      <w:pPr>
        <w:widowControl/>
        <w:shd w:val="clear" w:color="auto" w:fill="FFFFFF"/>
        <w:wordWrap w:val="0"/>
        <w:spacing w:line="500" w:lineRule="atLeast"/>
        <w:jc w:val="left"/>
        <w:textAlignment w:val="top"/>
        <w:rPr>
          <w:rFonts w:ascii="黑体" w:eastAsia="黑体" w:hAnsi="黑体" w:cs="宋体"/>
          <w:bCs/>
          <w:color w:val="313131"/>
          <w:kern w:val="0"/>
          <w:sz w:val="32"/>
          <w:szCs w:val="32"/>
        </w:rPr>
      </w:pPr>
    </w:p>
    <w:p w:rsidR="00951EE1" w:rsidRDefault="00951EE1" w:rsidP="00075BD7">
      <w:pPr>
        <w:widowControl/>
        <w:shd w:val="clear" w:color="auto" w:fill="FFFFFF"/>
        <w:wordWrap w:val="0"/>
        <w:spacing w:line="500" w:lineRule="atLeast"/>
        <w:jc w:val="left"/>
        <w:textAlignment w:val="top"/>
        <w:rPr>
          <w:rFonts w:ascii="黑体" w:eastAsia="黑体" w:hAnsi="黑体" w:cs="宋体"/>
          <w:bCs/>
          <w:color w:val="313131"/>
          <w:kern w:val="0"/>
          <w:sz w:val="32"/>
          <w:szCs w:val="32"/>
        </w:rPr>
      </w:pPr>
    </w:p>
    <w:p w:rsidR="00951EE1" w:rsidRDefault="00951EE1" w:rsidP="00075BD7">
      <w:pPr>
        <w:widowControl/>
        <w:shd w:val="clear" w:color="auto" w:fill="FFFFFF"/>
        <w:wordWrap w:val="0"/>
        <w:spacing w:line="500" w:lineRule="atLeast"/>
        <w:jc w:val="left"/>
        <w:textAlignment w:val="top"/>
        <w:rPr>
          <w:rFonts w:ascii="黑体" w:eastAsia="黑体" w:hAnsi="黑体" w:cs="宋体"/>
          <w:bCs/>
          <w:color w:val="313131"/>
          <w:kern w:val="0"/>
          <w:sz w:val="32"/>
          <w:szCs w:val="32"/>
        </w:rPr>
      </w:pPr>
    </w:p>
    <w:sectPr w:rsidR="00951EE1" w:rsidSect="00F55F04">
      <w:footerReference w:type="even" r:id="rId7"/>
      <w:footerReference w:type="default" r:id="rId8"/>
      <w:footerReference w:type="firs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AE1" w:rsidRDefault="00262AE1" w:rsidP="004C1734">
      <w:r>
        <w:separator/>
      </w:r>
    </w:p>
  </w:endnote>
  <w:endnote w:type="continuationSeparator" w:id="0">
    <w:p w:rsidR="00262AE1" w:rsidRDefault="00262AE1" w:rsidP="004C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E1" w:rsidRDefault="00951EE1">
    <w:pPr>
      <w:pStyle w:val="a4"/>
    </w:pPr>
    <w:r w:rsidRPr="003A02D5">
      <w:rPr>
        <w:rFonts w:ascii="宋体" w:hAnsi="宋体"/>
        <w:sz w:val="28"/>
        <w:szCs w:val="28"/>
      </w:rPr>
      <w:fldChar w:fldCharType="begin"/>
    </w:r>
    <w:r w:rsidRPr="003A02D5">
      <w:rPr>
        <w:rFonts w:ascii="宋体" w:hAnsi="宋体"/>
        <w:sz w:val="28"/>
        <w:szCs w:val="28"/>
      </w:rPr>
      <w:instrText xml:space="preserve"> PAGE   \* MERGEFORMAT </w:instrText>
    </w:r>
    <w:r w:rsidRPr="003A02D5">
      <w:rPr>
        <w:rFonts w:ascii="宋体" w:hAnsi="宋体"/>
        <w:sz w:val="28"/>
        <w:szCs w:val="28"/>
      </w:rPr>
      <w:fldChar w:fldCharType="separate"/>
    </w:r>
    <w:r w:rsidR="00D44232" w:rsidRPr="00D44232">
      <w:rPr>
        <w:rFonts w:ascii="宋体"/>
        <w:noProof/>
        <w:sz w:val="28"/>
        <w:szCs w:val="28"/>
        <w:lang w:val="zh-CN"/>
      </w:rPr>
      <w:t>-</w:t>
    </w:r>
    <w:r w:rsidR="00D44232">
      <w:rPr>
        <w:rFonts w:ascii="宋体" w:hAnsi="宋体"/>
        <w:noProof/>
        <w:sz w:val="28"/>
        <w:szCs w:val="28"/>
      </w:rPr>
      <w:t xml:space="preserve"> 2 -</w:t>
    </w:r>
    <w:r w:rsidRPr="003A02D5">
      <w:rPr>
        <w:rFonts w:ascii="宋体" w:hAnsi="宋体"/>
        <w:sz w:val="28"/>
        <w:szCs w:val="28"/>
      </w:rPr>
      <w:fldChar w:fldCharType="end"/>
    </w:r>
  </w:p>
  <w:p w:rsidR="00951EE1" w:rsidRDefault="00951EE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E1" w:rsidRPr="00F55F04" w:rsidRDefault="00951EE1">
    <w:pPr>
      <w:pStyle w:val="a4"/>
      <w:jc w:val="right"/>
      <w:rPr>
        <w:rFonts w:ascii="宋体"/>
        <w:sz w:val="28"/>
        <w:szCs w:val="28"/>
      </w:rPr>
    </w:pPr>
    <w:r w:rsidRPr="00F55F04">
      <w:rPr>
        <w:rFonts w:ascii="宋体" w:hAnsi="宋体"/>
        <w:sz w:val="28"/>
        <w:szCs w:val="28"/>
      </w:rPr>
      <w:fldChar w:fldCharType="begin"/>
    </w:r>
    <w:r w:rsidRPr="00F55F04">
      <w:rPr>
        <w:rFonts w:ascii="宋体" w:hAnsi="宋体"/>
        <w:sz w:val="28"/>
        <w:szCs w:val="28"/>
      </w:rPr>
      <w:instrText xml:space="preserve"> PAGE   \* MERGEFORMAT </w:instrText>
    </w:r>
    <w:r w:rsidRPr="00F55F04">
      <w:rPr>
        <w:rFonts w:ascii="宋体" w:hAnsi="宋体"/>
        <w:sz w:val="28"/>
        <w:szCs w:val="28"/>
      </w:rPr>
      <w:fldChar w:fldCharType="separate"/>
    </w:r>
    <w:r w:rsidR="00D44232" w:rsidRPr="00D44232">
      <w:rPr>
        <w:rFonts w:ascii="宋体" w:hAnsi="宋体"/>
        <w:noProof/>
        <w:sz w:val="28"/>
        <w:szCs w:val="28"/>
        <w:lang w:val="zh-CN"/>
      </w:rPr>
      <w:t>-</w:t>
    </w:r>
    <w:r w:rsidR="00D44232">
      <w:rPr>
        <w:rFonts w:ascii="宋体" w:hAnsi="宋体"/>
        <w:noProof/>
        <w:sz w:val="28"/>
        <w:szCs w:val="28"/>
      </w:rPr>
      <w:t xml:space="preserve"> 3 -</w:t>
    </w:r>
    <w:r w:rsidRPr="00F55F04">
      <w:rPr>
        <w:rFonts w:ascii="宋体" w:hAnsi="宋体"/>
        <w:sz w:val="28"/>
        <w:szCs w:val="28"/>
      </w:rPr>
      <w:fldChar w:fldCharType="end"/>
    </w:r>
  </w:p>
  <w:p w:rsidR="00951EE1" w:rsidRDefault="00951EE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E1" w:rsidRDefault="00262AE1">
    <w:pPr>
      <w:pStyle w:val="a4"/>
      <w:jc w:val="right"/>
    </w:pPr>
    <w:r>
      <w:fldChar w:fldCharType="begin"/>
    </w:r>
    <w:r>
      <w:instrText xml:space="preserve"> PAGE   \* MERGEFORMAT </w:instrText>
    </w:r>
    <w:r>
      <w:fldChar w:fldCharType="separate"/>
    </w:r>
    <w:r w:rsidR="00951EE1" w:rsidRPr="003A02D5">
      <w:rPr>
        <w:noProof/>
        <w:lang w:val="zh-CN"/>
      </w:rPr>
      <w:t>-</w:t>
    </w:r>
    <w:r w:rsidR="00951EE1">
      <w:rPr>
        <w:noProof/>
      </w:rPr>
      <w:t xml:space="preserve"> 1 -</w:t>
    </w:r>
    <w:r>
      <w:rPr>
        <w:noProof/>
      </w:rPr>
      <w:fldChar w:fldCharType="end"/>
    </w:r>
  </w:p>
  <w:p w:rsidR="00951EE1" w:rsidRDefault="00951E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AE1" w:rsidRDefault="00262AE1" w:rsidP="004C1734">
      <w:r>
        <w:separator/>
      </w:r>
    </w:p>
  </w:footnote>
  <w:footnote w:type="continuationSeparator" w:id="0">
    <w:p w:rsidR="00262AE1" w:rsidRDefault="00262AE1" w:rsidP="004C1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B6D0C"/>
    <w:multiLevelType w:val="hybridMultilevel"/>
    <w:tmpl w:val="C2D4D59C"/>
    <w:lvl w:ilvl="0" w:tplc="68340AF6">
      <w:start w:val="1"/>
      <w:numFmt w:val="decimalEnclosedCircle"/>
      <w:lvlText w:val="%1"/>
      <w:lvlJc w:val="left"/>
      <w:pPr>
        <w:ind w:left="360" w:hanging="360"/>
      </w:pPr>
      <w:rPr>
        <w:rFonts w:ascii="仿宋_GB2312" w:eastAsia="仿宋_GB2312" w:cs="宋体" w:hint="default"/>
        <w:color w:val="000000"/>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734"/>
    <w:rsid w:val="00015213"/>
    <w:rsid w:val="000523C8"/>
    <w:rsid w:val="00075979"/>
    <w:rsid w:val="00075BD7"/>
    <w:rsid w:val="00075CC1"/>
    <w:rsid w:val="001175B3"/>
    <w:rsid w:val="00136E8B"/>
    <w:rsid w:val="001401DA"/>
    <w:rsid w:val="00187DFE"/>
    <w:rsid w:val="001B27AA"/>
    <w:rsid w:val="002569C9"/>
    <w:rsid w:val="00257116"/>
    <w:rsid w:val="00262AE1"/>
    <w:rsid w:val="00280D47"/>
    <w:rsid w:val="002B1413"/>
    <w:rsid w:val="002C09A4"/>
    <w:rsid w:val="00325DDF"/>
    <w:rsid w:val="003260F5"/>
    <w:rsid w:val="00366C87"/>
    <w:rsid w:val="003A02D5"/>
    <w:rsid w:val="003D68DB"/>
    <w:rsid w:val="003F7DE2"/>
    <w:rsid w:val="0041535D"/>
    <w:rsid w:val="004873DD"/>
    <w:rsid w:val="004C1734"/>
    <w:rsid w:val="00506669"/>
    <w:rsid w:val="00507BC1"/>
    <w:rsid w:val="00546FDC"/>
    <w:rsid w:val="00555759"/>
    <w:rsid w:val="005754C8"/>
    <w:rsid w:val="005972A3"/>
    <w:rsid w:val="005A6073"/>
    <w:rsid w:val="005E3346"/>
    <w:rsid w:val="005E5568"/>
    <w:rsid w:val="00612DCB"/>
    <w:rsid w:val="00617A25"/>
    <w:rsid w:val="006D4F38"/>
    <w:rsid w:val="006F08DB"/>
    <w:rsid w:val="00702192"/>
    <w:rsid w:val="007576F0"/>
    <w:rsid w:val="0077100C"/>
    <w:rsid w:val="007D6634"/>
    <w:rsid w:val="007F2377"/>
    <w:rsid w:val="00805E56"/>
    <w:rsid w:val="0087633A"/>
    <w:rsid w:val="008E6178"/>
    <w:rsid w:val="0091723D"/>
    <w:rsid w:val="00936048"/>
    <w:rsid w:val="00951EE1"/>
    <w:rsid w:val="009B447E"/>
    <w:rsid w:val="009E640E"/>
    <w:rsid w:val="00A758B1"/>
    <w:rsid w:val="00AC261A"/>
    <w:rsid w:val="00AF7B31"/>
    <w:rsid w:val="00B86783"/>
    <w:rsid w:val="00B9701A"/>
    <w:rsid w:val="00BC03BB"/>
    <w:rsid w:val="00BF0A94"/>
    <w:rsid w:val="00C057CD"/>
    <w:rsid w:val="00C13A08"/>
    <w:rsid w:val="00C25AAD"/>
    <w:rsid w:val="00C45BA4"/>
    <w:rsid w:val="00C76C90"/>
    <w:rsid w:val="00C8062E"/>
    <w:rsid w:val="00CC2583"/>
    <w:rsid w:val="00D42471"/>
    <w:rsid w:val="00D44232"/>
    <w:rsid w:val="00DB6D48"/>
    <w:rsid w:val="00E26E3F"/>
    <w:rsid w:val="00E84F53"/>
    <w:rsid w:val="00E9315B"/>
    <w:rsid w:val="00E93495"/>
    <w:rsid w:val="00EB1930"/>
    <w:rsid w:val="00EB4EB2"/>
    <w:rsid w:val="00EC0519"/>
    <w:rsid w:val="00ED49AB"/>
    <w:rsid w:val="00F050B8"/>
    <w:rsid w:val="00F5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B6C2C31-EAB5-4BAD-8B1C-3472DDAE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1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C173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4C1734"/>
    <w:rPr>
      <w:rFonts w:cs="Times New Roman"/>
      <w:sz w:val="18"/>
      <w:szCs w:val="18"/>
    </w:rPr>
  </w:style>
  <w:style w:type="paragraph" w:styleId="a4">
    <w:name w:val="footer"/>
    <w:basedOn w:val="a"/>
    <w:link w:val="Char0"/>
    <w:uiPriority w:val="99"/>
    <w:rsid w:val="004C1734"/>
    <w:pPr>
      <w:tabs>
        <w:tab w:val="center" w:pos="4153"/>
        <w:tab w:val="right" w:pos="8306"/>
      </w:tabs>
      <w:snapToGrid w:val="0"/>
      <w:jc w:val="left"/>
    </w:pPr>
    <w:rPr>
      <w:sz w:val="18"/>
      <w:szCs w:val="18"/>
    </w:rPr>
  </w:style>
  <w:style w:type="character" w:customStyle="1" w:styleId="Char0">
    <w:name w:val="页脚 Char"/>
    <w:link w:val="a4"/>
    <w:uiPriority w:val="99"/>
    <w:locked/>
    <w:rsid w:val="004C1734"/>
    <w:rPr>
      <w:rFonts w:cs="Times New Roman"/>
      <w:sz w:val="18"/>
      <w:szCs w:val="18"/>
    </w:rPr>
  </w:style>
  <w:style w:type="paragraph" w:styleId="a5">
    <w:name w:val="Normal (Web)"/>
    <w:basedOn w:val="a"/>
    <w:uiPriority w:val="99"/>
    <w:rsid w:val="004873DD"/>
    <w:pPr>
      <w:widowControl/>
      <w:spacing w:before="100" w:beforeAutospacing="1" w:after="100" w:afterAutospacing="1"/>
      <w:jc w:val="left"/>
    </w:pPr>
    <w:rPr>
      <w:rFonts w:ascii="宋体" w:hAnsi="宋体" w:cs="宋体"/>
      <w:kern w:val="0"/>
      <w:sz w:val="24"/>
      <w:szCs w:val="24"/>
    </w:rPr>
  </w:style>
  <w:style w:type="paragraph" w:styleId="a6">
    <w:name w:val="Date"/>
    <w:basedOn w:val="a"/>
    <w:next w:val="a"/>
    <w:link w:val="Char1"/>
    <w:uiPriority w:val="99"/>
    <w:semiHidden/>
    <w:rsid w:val="002569C9"/>
    <w:pPr>
      <w:ind w:leftChars="2500" w:left="100"/>
    </w:pPr>
  </w:style>
  <w:style w:type="character" w:customStyle="1" w:styleId="Char1">
    <w:name w:val="日期 Char"/>
    <w:link w:val="a6"/>
    <w:uiPriority w:val="99"/>
    <w:semiHidden/>
    <w:locked/>
    <w:rsid w:val="002569C9"/>
    <w:rPr>
      <w:rFonts w:cs="Times New Roman"/>
      <w:kern w:val="2"/>
      <w:sz w:val="22"/>
      <w:szCs w:val="22"/>
    </w:rPr>
  </w:style>
  <w:style w:type="paragraph" w:styleId="a7">
    <w:name w:val="Balloon Text"/>
    <w:basedOn w:val="a"/>
    <w:link w:val="Char2"/>
    <w:uiPriority w:val="99"/>
    <w:semiHidden/>
    <w:rsid w:val="005972A3"/>
    <w:rPr>
      <w:sz w:val="18"/>
      <w:szCs w:val="18"/>
    </w:rPr>
  </w:style>
  <w:style w:type="character" w:customStyle="1" w:styleId="Char2">
    <w:name w:val="批注框文本 Char"/>
    <w:link w:val="a7"/>
    <w:uiPriority w:val="99"/>
    <w:semiHidden/>
    <w:locked/>
    <w:rsid w:val="005972A3"/>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965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192</Words>
  <Characters>1100</Characters>
  <Application>Microsoft Office Word</Application>
  <DocSecurity>0</DocSecurity>
  <Lines>9</Lines>
  <Paragraphs>2</Paragraphs>
  <ScaleCrop>false</ScaleCrop>
  <Company>Microsoft</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南京理工大学硕士学位论文学术不端行为预防及处理暂行办法</dc:title>
  <dc:subject/>
  <dc:creator>穆恒</dc:creator>
  <cp:keywords/>
  <dc:description/>
  <cp:lastModifiedBy>Windows 用户</cp:lastModifiedBy>
  <cp:revision>3</cp:revision>
  <cp:lastPrinted>2014-06-26T07:39:00Z</cp:lastPrinted>
  <dcterms:created xsi:type="dcterms:W3CDTF">2014-12-11T08:33:00Z</dcterms:created>
  <dcterms:modified xsi:type="dcterms:W3CDTF">2018-08-09T08:02:00Z</dcterms:modified>
</cp:coreProperties>
</file>